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4B0D" w14:textId="31050208" w:rsidR="00B70EA0" w:rsidRPr="00337ACD" w:rsidRDefault="00B70EA0" w:rsidP="00B70EA0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TSG-RAN WG2 #1</w:t>
      </w:r>
      <w:r>
        <w:rPr>
          <w:b/>
          <w:noProof/>
          <w:sz w:val="22"/>
          <w:szCs w:val="22"/>
        </w:rPr>
        <w:t>30</w:t>
      </w:r>
      <w:r w:rsidRPr="00337ACD">
        <w:rPr>
          <w:b/>
          <w:i/>
          <w:noProof/>
          <w:sz w:val="22"/>
          <w:szCs w:val="22"/>
        </w:rPr>
        <w:tab/>
      </w:r>
      <w:r w:rsidR="00FB6F0D" w:rsidRPr="00FB6F0D">
        <w:rPr>
          <w:b/>
          <w:bCs/>
          <w:sz w:val="22"/>
          <w:szCs w:val="22"/>
        </w:rPr>
        <w:t>R2-2504654</w:t>
      </w:r>
    </w:p>
    <w:p w14:paraId="63E21381" w14:textId="77777777" w:rsidR="00B70EA0" w:rsidRPr="00337ACD" w:rsidRDefault="00B70EA0" w:rsidP="00B70EA0">
      <w:pPr>
        <w:pStyle w:val="CRCoverPage"/>
        <w:jc w:val="both"/>
        <w:outlineLvl w:val="0"/>
        <w:rPr>
          <w:b/>
          <w:noProof/>
          <w:sz w:val="22"/>
          <w:szCs w:val="22"/>
        </w:rPr>
      </w:pPr>
      <w:r w:rsidRPr="00B75B9F">
        <w:rPr>
          <w:b/>
          <w:noProof/>
          <w:sz w:val="22"/>
          <w:szCs w:val="22"/>
        </w:rPr>
        <w:t>St. Julian’s, Malta, May 19th – 23rd, 2025</w:t>
      </w:r>
    </w:p>
    <w:bookmarkEnd w:id="0"/>
    <w:p w14:paraId="2E745AE3" w14:textId="77777777" w:rsidR="00E90E49" w:rsidRPr="00630558" w:rsidRDefault="00E90E49" w:rsidP="009163E9"/>
    <w:p w14:paraId="40CF7388" w14:textId="34F12142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Agenda Item:</w:t>
      </w:r>
      <w:r w:rsidRPr="003B6FF8">
        <w:rPr>
          <w:rFonts w:eastAsia="SimSun" w:cs="Times New Roman"/>
          <w:lang w:eastAsia="zh-CN"/>
        </w:rPr>
        <w:tab/>
      </w:r>
      <w:r w:rsidR="00955449" w:rsidRPr="003B6FF8">
        <w:rPr>
          <w:rFonts w:eastAsia="SimSun" w:cs="Times New Roman"/>
          <w:lang w:eastAsia="zh-CN"/>
        </w:rPr>
        <w:t>8.</w:t>
      </w:r>
      <w:r w:rsidR="00DA7351" w:rsidRPr="003B6FF8">
        <w:rPr>
          <w:rFonts w:eastAsia="SimSun" w:cs="Times New Roman"/>
          <w:lang w:eastAsia="zh-CN"/>
        </w:rPr>
        <w:t>9</w:t>
      </w:r>
      <w:r w:rsidR="00955449" w:rsidRPr="003B6FF8">
        <w:rPr>
          <w:rFonts w:eastAsia="SimSun" w:cs="Times New Roman"/>
          <w:lang w:eastAsia="zh-CN"/>
        </w:rPr>
        <w:t>.</w:t>
      </w:r>
      <w:r w:rsidR="00A740B1" w:rsidRPr="003B6FF8">
        <w:rPr>
          <w:rFonts w:eastAsia="SimSun" w:cs="Times New Roman"/>
          <w:lang w:eastAsia="zh-CN"/>
        </w:rPr>
        <w:t>2</w:t>
      </w:r>
    </w:p>
    <w:p w14:paraId="719003AB" w14:textId="77777777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Source:</w:t>
      </w:r>
      <w:r w:rsidR="00E90E49" w:rsidRPr="003B6FF8">
        <w:rPr>
          <w:rFonts w:eastAsia="SimSun" w:cs="Times New Roman"/>
          <w:lang w:eastAsia="zh-CN"/>
        </w:rPr>
        <w:tab/>
      </w:r>
      <w:r w:rsidR="00F64C2B" w:rsidRPr="003B6FF8">
        <w:rPr>
          <w:rFonts w:eastAsia="SimSun" w:cs="Times New Roman"/>
          <w:lang w:eastAsia="zh-CN"/>
        </w:rPr>
        <w:t>Ericsson</w:t>
      </w:r>
    </w:p>
    <w:p w14:paraId="3CE99A1A" w14:textId="61119330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Title:</w:t>
      </w:r>
      <w:r w:rsidR="00E90E49" w:rsidRPr="003B6FF8">
        <w:rPr>
          <w:rFonts w:eastAsia="SimSun" w:cs="Times New Roman"/>
          <w:lang w:eastAsia="zh-CN"/>
        </w:rPr>
        <w:tab/>
      </w:r>
      <w:r w:rsidR="00A740B1" w:rsidRPr="003B6FF8">
        <w:rPr>
          <w:rFonts w:eastAsia="SimSun" w:cs="Times New Roman"/>
          <w:lang w:eastAsia="zh-CN"/>
        </w:rPr>
        <w:t>Support for store and forward</w:t>
      </w:r>
      <w:r w:rsidR="004B777D" w:rsidRPr="003B6FF8">
        <w:rPr>
          <w:rFonts w:eastAsia="SimSun" w:cs="Times New Roman"/>
          <w:lang w:eastAsia="zh-CN"/>
        </w:rPr>
        <w:t xml:space="preserve"> in IoT NTN</w:t>
      </w:r>
    </w:p>
    <w:p w14:paraId="1C58528E" w14:textId="5C8DA81A" w:rsidR="00E90E49" w:rsidRPr="003B6FF8" w:rsidRDefault="00E90E49" w:rsidP="002B4DEB">
      <w:pPr>
        <w:pStyle w:val="3GPPHeader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Document for:</w:t>
      </w:r>
      <w:r w:rsidRPr="003B6FF8">
        <w:rPr>
          <w:rFonts w:eastAsia="SimSun" w:cs="Times New Roman"/>
          <w:lang w:eastAsia="zh-CN"/>
        </w:rPr>
        <w:tab/>
        <w:t>Discussion, Decision</w:t>
      </w:r>
    </w:p>
    <w:p w14:paraId="0363E309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47521187" w14:textId="270E6474" w:rsidR="00AA6EDF" w:rsidRPr="00630558" w:rsidRDefault="00796FA2" w:rsidP="00C9628B">
      <w:pPr>
        <w:pStyle w:val="BodyText"/>
        <w:rPr>
          <w:rFonts w:eastAsia="SimSun" w:cs="Arial"/>
          <w:szCs w:val="20"/>
          <w:lang w:eastAsia="en-GB"/>
        </w:rPr>
      </w:pPr>
      <w:r w:rsidRPr="009149DD">
        <w:t xml:space="preserve">Based on the conclusions from SA2 study </w:t>
      </w:r>
      <w:r w:rsidR="00E52201">
        <w:rPr>
          <w:lang w:val="en-US"/>
        </w:rPr>
        <w:t>report</w:t>
      </w:r>
      <w:r w:rsidRPr="009149DD">
        <w:t xml:space="preserve"> [1</w:t>
      </w:r>
      <w:r w:rsidRPr="009149DD">
        <w:rPr>
          <w:noProof/>
        </w:rPr>
        <w:t>],</w:t>
      </w:r>
      <w:r w:rsidRPr="009149DD">
        <w:t xml:space="preserve"> </w:t>
      </w:r>
      <w:r w:rsidR="004E6B0F">
        <w:t xml:space="preserve">the following </w:t>
      </w:r>
      <w:r w:rsidR="00DF0344" w:rsidRPr="00630558">
        <w:rPr>
          <w:rFonts w:cs="Arial"/>
        </w:rPr>
        <w:t xml:space="preserve">objectives </w:t>
      </w:r>
      <w:r w:rsidR="004E6B0F">
        <w:rPr>
          <w:rFonts w:cs="Arial"/>
        </w:rPr>
        <w:t>were defined in RAN for</w:t>
      </w:r>
      <w:r w:rsidR="00A740B1" w:rsidRPr="00630558">
        <w:rPr>
          <w:rFonts w:cs="Arial"/>
        </w:rPr>
        <w:t xml:space="preserve"> store and forward </w:t>
      </w:r>
      <w:r w:rsidR="004E6B0F">
        <w:rPr>
          <w:rFonts w:cs="Arial"/>
        </w:rPr>
        <w:t xml:space="preserve">in the related </w:t>
      </w:r>
      <w:r w:rsidR="00DF0344" w:rsidRPr="00630558">
        <w:rPr>
          <w:rFonts w:cs="Arial"/>
        </w:rPr>
        <w:t xml:space="preserve">work item </w:t>
      </w:r>
      <w:r w:rsidR="00E04A3F">
        <w:rPr>
          <w:rFonts w:cs="Arial"/>
        </w:rPr>
        <w:fldChar w:fldCharType="begin"/>
      </w:r>
      <w:r w:rsidR="00E04A3F">
        <w:rPr>
          <w:rFonts w:cs="Arial"/>
        </w:rPr>
        <w:instrText xml:space="preserve"> REF _Ref181904463 \r \h </w:instrText>
      </w:r>
      <w:r w:rsidR="00E04A3F">
        <w:rPr>
          <w:rFonts w:cs="Arial"/>
        </w:rPr>
      </w:r>
      <w:r w:rsidR="00E04A3F">
        <w:rPr>
          <w:rFonts w:cs="Arial"/>
        </w:rPr>
        <w:fldChar w:fldCharType="separate"/>
      </w:r>
      <w:r w:rsidR="00C0177B">
        <w:rPr>
          <w:rFonts w:cs="Arial"/>
        </w:rPr>
        <w:t>[2]</w:t>
      </w:r>
      <w:r w:rsidR="00E04A3F">
        <w:rPr>
          <w:rFonts w:cs="Arial"/>
        </w:rPr>
        <w:fldChar w:fldCharType="end"/>
      </w:r>
      <w:r w:rsidR="000362C1">
        <w:rPr>
          <w:rFonts w:cs="Arial"/>
        </w:rPr>
        <w:t>:</w:t>
      </w:r>
    </w:p>
    <w:p w14:paraId="327750DE" w14:textId="77777777" w:rsidR="00AA6EDF" w:rsidRPr="00630558" w:rsidRDefault="00AA6EDF" w:rsidP="00212FA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</w:pPr>
      <w:r w:rsidRPr="00630558">
        <w:t xml:space="preserve">Support of </w:t>
      </w:r>
      <w:bookmarkStart w:id="1" w:name="OLE_LINK13"/>
      <w:r w:rsidRPr="00630558">
        <w:t>Store&amp;Forward (S&amp;F)</w:t>
      </w:r>
      <w:bookmarkEnd w:id="1"/>
      <w:r w:rsidRPr="00630558">
        <w:t xml:space="preserve"> satellite operation with full eNB as regenerative payload, therefore:</w:t>
      </w:r>
    </w:p>
    <w:p w14:paraId="266632E9" w14:textId="2E0BF210" w:rsidR="00AA6EDF" w:rsidRPr="00630558" w:rsidRDefault="00AA6EDF" w:rsidP="00212FAA">
      <w:pPr>
        <w:numPr>
          <w:ilvl w:val="1"/>
          <w:numId w:val="13"/>
        </w:numPr>
        <w:overflowPunct w:val="0"/>
        <w:autoSpaceDE w:val="0"/>
        <w:autoSpaceDN w:val="0"/>
        <w:adjustRightInd w:val="0"/>
      </w:pPr>
      <w:r w:rsidRPr="00630558">
        <w:t>Define the necessary enhancements into E-UTRAN (network &amp; UE) to support S&amp;F operation for delay-tolerant services [RAN3, RAN2]</w:t>
      </w:r>
    </w:p>
    <w:p w14:paraId="76DEBD91" w14:textId="4DFC626E" w:rsidR="00AA6EDF" w:rsidRPr="00630558" w:rsidRDefault="00AA6EDF" w:rsidP="00212FAA">
      <w:pPr>
        <w:numPr>
          <w:ilvl w:val="2"/>
          <w:numId w:val="13"/>
        </w:numPr>
        <w:overflowPunct w:val="0"/>
        <w:autoSpaceDE w:val="0"/>
        <w:autoSpaceDN w:val="0"/>
        <w:adjustRightInd w:val="0"/>
      </w:pPr>
      <w:r w:rsidRPr="00630558">
        <w:t>At least specify necessary enhancements e.g. related to S1 protocol, especially to address the feeder link switch over as needed [RAN3]</w:t>
      </w:r>
    </w:p>
    <w:p w14:paraId="63A63098" w14:textId="08040F81" w:rsidR="00AA6EDF" w:rsidRPr="00630558" w:rsidRDefault="00AA6EDF" w:rsidP="00C9628B">
      <w:pPr>
        <w:ind w:left="720"/>
      </w:pPr>
      <w:r w:rsidRPr="00630558">
        <w:t>Note: Strive to minimise UE impact.</w:t>
      </w:r>
    </w:p>
    <w:p w14:paraId="56668B7F" w14:textId="6E307A53" w:rsidR="00BD5B67" w:rsidRDefault="00AA6EDF" w:rsidP="00BD5B67">
      <w:pPr>
        <w:ind w:left="720"/>
      </w:pPr>
      <w:r w:rsidRPr="00630558"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  <w:r w:rsidR="004E6B0F">
        <w:t>.</w:t>
      </w:r>
    </w:p>
    <w:p w14:paraId="177B1FDF" w14:textId="1C1B187B" w:rsidR="004E6B0F" w:rsidRPr="00630558" w:rsidRDefault="004E6B0F" w:rsidP="004E6B0F">
      <w:r>
        <w:t xml:space="preserve">In this contribution, we aim to address </w:t>
      </w:r>
      <w:r w:rsidR="00D30032">
        <w:t>the most pressing points.</w:t>
      </w:r>
    </w:p>
    <w:p w14:paraId="4C9C8AB3" w14:textId="2DFD29FD" w:rsidR="004000E8" w:rsidRPr="00630558" w:rsidRDefault="00230D18" w:rsidP="00CE0424">
      <w:pPr>
        <w:pStyle w:val="Heading1"/>
      </w:pPr>
      <w:bookmarkStart w:id="2" w:name="_Ref178064866"/>
      <w:r w:rsidRPr="00630558">
        <w:t>2</w:t>
      </w:r>
      <w:r w:rsidRPr="00630558">
        <w:tab/>
      </w:r>
      <w:bookmarkEnd w:id="2"/>
      <w:r w:rsidR="00FF45DC" w:rsidRPr="00630558">
        <w:t>Discussion</w:t>
      </w:r>
    </w:p>
    <w:p w14:paraId="145433A4" w14:textId="25523BDC" w:rsidR="00EE14F7" w:rsidRDefault="000A2579" w:rsidP="000A2579">
      <w:pPr>
        <w:pStyle w:val="Heading2"/>
      </w:pPr>
      <w:r w:rsidRPr="00630558">
        <w:t>2.1</w:t>
      </w:r>
      <w:r w:rsidR="004D54FB" w:rsidRPr="00630558">
        <w:tab/>
      </w:r>
      <w:r w:rsidR="00EE14F7">
        <w:t xml:space="preserve">Satellite IDs in the NAS </w:t>
      </w:r>
      <w:r w:rsidR="002E77E6">
        <w:t xml:space="preserve">provided </w:t>
      </w:r>
      <w:r w:rsidR="00EE14F7">
        <w:t>list</w:t>
      </w:r>
    </w:p>
    <w:p w14:paraId="2C70E610" w14:textId="24B0BF15" w:rsidR="00EE14F7" w:rsidRDefault="00D30032" w:rsidP="00EE14F7">
      <w:r w:rsidRPr="00D30032">
        <w:t xml:space="preserve">During RAN2#128, there was extensive discussion on the interpretation of the satellite ID list provided to the </w:t>
      </w:r>
      <w:r w:rsidR="002127A1">
        <w:t>UE via NAS and the related UE behaviour</w:t>
      </w:r>
      <w:r w:rsidR="00656354">
        <w:t xml:space="preserve">. </w:t>
      </w:r>
      <w:r w:rsidR="0021567B" w:rsidRPr="0021567B">
        <w:t xml:space="preserve">Some companies found the SA2 study inconclusive regarding whether the satellites in the list </w:t>
      </w:r>
      <w:r w:rsidR="0021567B">
        <w:t xml:space="preserve">either </w:t>
      </w:r>
      <w:r w:rsidR="0021567B" w:rsidRPr="0021567B">
        <w:t>support or operate in</w:t>
      </w:r>
      <w:r w:rsidR="004A3924">
        <w:t xml:space="preserve"> S&amp;F mode</w:t>
      </w:r>
      <w:r w:rsidR="00A423D5">
        <w:t xml:space="preserve"> </w:t>
      </w:r>
      <w:r w:rsidR="0021567B" w:rsidRPr="0021567B">
        <w:t>when serving the UE. Consequently, it was agreed to send a</w:t>
      </w:r>
      <w:r w:rsidR="0021567B">
        <w:t>n</w:t>
      </w:r>
      <w:r w:rsidR="002127A1">
        <w:t xml:space="preserve"> LS to </w:t>
      </w:r>
      <w:r w:rsidR="00656354">
        <w:t>SA</w:t>
      </w:r>
      <w:r w:rsidR="002127A1">
        <w:t>2</w:t>
      </w:r>
      <w:r w:rsidR="007913AC">
        <w:t xml:space="preserve"> [</w:t>
      </w:r>
      <w:r w:rsidR="00F45400">
        <w:t>3</w:t>
      </w:r>
      <w:r w:rsidR="007913AC">
        <w:t>] to confirm the following understanding:</w:t>
      </w:r>
    </w:p>
    <w:p w14:paraId="4B738FD9" w14:textId="72E44DA4" w:rsidR="00B37A5A" w:rsidRDefault="007913AC" w:rsidP="00EE14F7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C4DD0E" wp14:editId="6AF8550D">
                <wp:simplePos x="0" y="0"/>
                <wp:positionH relativeFrom="column">
                  <wp:posOffset>66675</wp:posOffset>
                </wp:positionH>
                <wp:positionV relativeFrom="paragraph">
                  <wp:posOffset>455930</wp:posOffset>
                </wp:positionV>
                <wp:extent cx="6097270" cy="1404620"/>
                <wp:effectExtent l="0" t="0" r="17780" b="22860"/>
                <wp:wrapTopAndBottom/>
                <wp:docPr id="21093699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915B6" w14:textId="77777777" w:rsidR="007913AC" w:rsidRDefault="007913AC" w:rsidP="007913AC">
                            <w:pPr>
                              <w:widowControl w:val="0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RAN2 would like to request SA2 to provide feedback on whether the following RAN2 understanding </w:t>
                            </w:r>
                            <w:r>
                              <w:rPr>
                                <w:rFonts w:eastAsia="DengXian" w:cs="Arial" w:hint="eastAsia"/>
                                <w:lang w:eastAsia="zh-CN"/>
                              </w:rPr>
                              <w:t>can be confirmed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: </w:t>
                            </w:r>
                          </w:p>
                          <w:p w14:paraId="788D97B3" w14:textId="01E6EC8F" w:rsidR="007913AC" w:rsidRPr="007913AC" w:rsidRDefault="007913AC" w:rsidP="00212FA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cs="Arial" w:hint="eastAsia"/>
                                <w:u w:val="single"/>
                                <w:lang w:val="en-US" w:eastAsia="zh-CN"/>
                              </w:rPr>
                              <w:t>RAN2 understanding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DengXian" w:cs="Arial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>e UE configured with a satellite ID list by MME is not prevented to camp on, attempt to access to and communicate with a satellite which is not included in the MME-configured satellite list</w:t>
                            </w:r>
                            <w:r>
                              <w:rPr>
                                <w:rFonts w:eastAsia="DengXian" w:cs="Arial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C4DD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25pt;margin-top:35.9pt;width:480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">
                <v:textbox style="mso-fit-shape-to-text:t">
                  <w:txbxContent>
                    <w:p w14:paraId="345915B6" w14:textId="77777777" w:rsidR="007913AC" w:rsidRDefault="007913AC" w:rsidP="007913AC">
                      <w:pPr>
                        <w:widowControl w:val="0"/>
                        <w:rPr>
                          <w:rFonts w:eastAsia="DengXian" w:cs="Arial"/>
                          <w:lang w:val="en-US" w:eastAsia="zh-CN"/>
                        </w:rPr>
                      </w:pP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RAN2 would like to request SA2 to provide feedback on whether the following RAN2 understanding </w:t>
                      </w:r>
                      <w:r>
                        <w:rPr>
                          <w:rFonts w:eastAsia="DengXian" w:cs="Arial" w:hint="eastAsia"/>
                          <w:lang w:eastAsia="zh-CN"/>
                        </w:rPr>
                        <w:t>can be confirmed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: </w:t>
                      </w:r>
                    </w:p>
                    <w:p w14:paraId="788D97B3" w14:textId="01E6EC8F" w:rsidR="007913AC" w:rsidRPr="007913AC" w:rsidRDefault="007913AC" w:rsidP="00212FAA">
                      <w:pPr>
                        <w:widowControl w:val="0"/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eastAsia="DengXian" w:cs="Arial"/>
                          <w:lang w:val="en-US" w:eastAsia="zh-CN"/>
                        </w:rPr>
                      </w:pPr>
                      <w:r>
                        <w:rPr>
                          <w:rFonts w:eastAsia="DengXian" w:cs="Arial" w:hint="eastAsia"/>
                          <w:u w:val="single"/>
                          <w:lang w:val="en-US" w:eastAsia="zh-CN"/>
                        </w:rPr>
                        <w:t>RAN2 understanding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: </w:t>
                      </w:r>
                      <w:r>
                        <w:rPr>
                          <w:rFonts w:eastAsia="DengXian" w:cs="Arial"/>
                          <w:lang w:val="en-US" w:eastAsia="zh-CN"/>
                        </w:rPr>
                        <w:t>Th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>e UE configured with a satellite ID list by MME is not prevented to camp on, attempt to access to and communicate with a satellite which is not included in the MME-configured satellite list</w:t>
                      </w:r>
                      <w:r>
                        <w:rPr>
                          <w:rFonts w:eastAsia="DengXian" w:cs="Arial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437B86C" w14:textId="77777777" w:rsidR="00B37A5A" w:rsidRDefault="00B37A5A" w:rsidP="00EE14F7"/>
    <w:p w14:paraId="63BF6FF8" w14:textId="4B32B3B0" w:rsidR="00581615" w:rsidRDefault="00BA3802" w:rsidP="00EE14F7">
      <w:r>
        <w:t>RAN2 has received an LS response [</w:t>
      </w:r>
      <w:r w:rsidR="00E72714">
        <w:t>4</w:t>
      </w:r>
      <w:r>
        <w:t xml:space="preserve">] </w:t>
      </w:r>
      <w:r w:rsidR="00B91080">
        <w:t>which confirms</w:t>
      </w:r>
      <w:r w:rsidR="00E1399E">
        <w:t xml:space="preserve"> RAN2’s understanding and </w:t>
      </w:r>
      <w:r w:rsidR="00281D5A">
        <w:t xml:space="preserve">further </w:t>
      </w:r>
      <w:r w:rsidR="00E1399E">
        <w:t>clarifies the intention with the S&amp;F</w:t>
      </w:r>
      <w:r w:rsidR="002D0052">
        <w:t xml:space="preserve"> NAS</w:t>
      </w:r>
      <w:r w:rsidR="00E1399E">
        <w:t xml:space="preserve"> wait timer and the </w:t>
      </w:r>
      <w:r w:rsidR="002D0052">
        <w:t xml:space="preserve">satellite </w:t>
      </w:r>
      <w:r w:rsidR="00E1399E">
        <w:t>monitoring list [</w:t>
      </w:r>
      <w:r w:rsidR="00E72714">
        <w:t>5</w:t>
      </w:r>
      <w:r w:rsidR="00E1399E">
        <w:t xml:space="preserve">]. In summary, </w:t>
      </w:r>
      <w:r w:rsidR="001917B1">
        <w:t xml:space="preserve">its use highly depends on the scenario and SA2 </w:t>
      </w:r>
      <w:r w:rsidR="00BC5C5F">
        <w:t xml:space="preserve">has </w:t>
      </w:r>
      <w:r w:rsidR="001917B1">
        <w:t>decided to leave it up to UE implementation.</w:t>
      </w:r>
      <w:r w:rsidR="00BC5C5F">
        <w:t xml:space="preserve"> </w:t>
      </w:r>
      <w:r w:rsidR="001A6361">
        <w:t>Although it is not advisable due to an expected worse performance</w:t>
      </w:r>
      <w:r w:rsidR="00BC5C5F">
        <w:t xml:space="preserve">, a UE is not </w:t>
      </w:r>
      <w:r w:rsidR="001A6361">
        <w:t>prevented</w:t>
      </w:r>
      <w:r w:rsidR="00BC5C5F">
        <w:t xml:space="preserve"> to attempt to access</w:t>
      </w:r>
      <w:r w:rsidR="00B90E9D">
        <w:t xml:space="preserve"> other</w:t>
      </w:r>
      <w:r w:rsidR="00BC5C5F">
        <w:t xml:space="preserve"> satellites that are not </w:t>
      </w:r>
      <w:r w:rsidR="001A6361">
        <w:t>in</w:t>
      </w:r>
      <w:r w:rsidR="00BC5C5F">
        <w:t xml:space="preserve"> the monitoring lists.</w:t>
      </w:r>
    </w:p>
    <w:p w14:paraId="0A7F21BD" w14:textId="4F311801" w:rsidR="00581615" w:rsidRDefault="00581615" w:rsidP="00EE14F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972AF36" wp14:editId="2FB88415">
                <wp:simplePos x="0" y="0"/>
                <wp:positionH relativeFrom="column">
                  <wp:posOffset>0</wp:posOffset>
                </wp:positionH>
                <wp:positionV relativeFrom="paragraph">
                  <wp:posOffset>337820</wp:posOffset>
                </wp:positionV>
                <wp:extent cx="6097270" cy="1404620"/>
                <wp:effectExtent l="0" t="0" r="17780" b="22860"/>
                <wp:wrapTopAndBottom/>
                <wp:docPr id="17573263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809BA" w14:textId="77777777" w:rsidR="0086291C" w:rsidRPr="0086291C" w:rsidRDefault="0086291C" w:rsidP="0086291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>NOTE A:</w:t>
                            </w: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ab/>
                              <w:t>The S&amp;F Wait Timer or S&amp;F Monitoring List doesn’t affect the UE when accessing an eNodeB that does not broadcast an indication of operating in S&amp;F Mode.</w:t>
                            </w:r>
                          </w:p>
                          <w:p w14:paraId="4AF685C3" w14:textId="72F9F989" w:rsidR="00581615" w:rsidRPr="0086291C" w:rsidRDefault="0086291C" w:rsidP="0086291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cs="Arial"/>
                                <w:color w:val="000000"/>
                                <w:lang w:eastAsia="zh-CN"/>
                              </w:rPr>
                            </w:pP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>NOTE B:</w:t>
                            </w: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ab/>
                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72AF36" id="_x0000_s1027" type="#_x0000_t202" style="position:absolute;margin-left:0;margin-top:26.6pt;width:480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">
                <v:textbox style="mso-fit-shape-to-text:t">
                  <w:txbxContent>
                    <w:p w14:paraId="58D809BA" w14:textId="77777777" w:rsidR="0086291C" w:rsidRPr="0086291C" w:rsidRDefault="0086291C" w:rsidP="0086291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 w:cs="Arial"/>
                          <w:lang w:val="en-US" w:eastAsia="zh-CN"/>
                        </w:rPr>
                      </w:pP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>NOTE A:</w:t>
                      </w: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ab/>
                        <w:t>The S&amp;F Wait Timer or S&amp;F Monitoring List doesn’t affect the UE when accessing an eNodeB that does not broadcast an indication of operating in S&amp;F Mode.</w:t>
                      </w:r>
                    </w:p>
                    <w:p w14:paraId="4AF685C3" w14:textId="72F9F989" w:rsidR="00581615" w:rsidRPr="0086291C" w:rsidRDefault="0086291C" w:rsidP="0086291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cs="Arial"/>
                          <w:color w:val="000000"/>
                          <w:lang w:eastAsia="zh-CN"/>
                        </w:rPr>
                      </w:pP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>NOTE B:</w:t>
                      </w: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ab/>
          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1957EA8" w14:textId="77777777" w:rsidR="00581615" w:rsidRDefault="00581615" w:rsidP="00EE14F7"/>
    <w:p w14:paraId="210A5E33" w14:textId="1C958A4D" w:rsidR="00F41ABA" w:rsidRDefault="00F41ABA" w:rsidP="00293EA8">
      <w:r>
        <w:t xml:space="preserve">In previous meetings, some companies </w:t>
      </w:r>
      <w:r w:rsidR="00CD67D8">
        <w:t xml:space="preserve">have </w:t>
      </w:r>
      <w:r>
        <w:t xml:space="preserve">suggested that </w:t>
      </w:r>
      <w:r w:rsidR="00CD67D8">
        <w:t>a s</w:t>
      </w:r>
      <w:r>
        <w:t>imilar UE behaviour as in discontinuous coverage</w:t>
      </w:r>
      <w:r w:rsidR="00CD67D8">
        <w:t xml:space="preserve"> could be adopted for store and forward. In TS 36.304, </w:t>
      </w:r>
      <w:r w:rsidR="00847808">
        <w:t>“</w:t>
      </w:r>
      <w:r w:rsidR="00847808" w:rsidRPr="00847808">
        <w:rPr>
          <w:i/>
          <w:iCs/>
        </w:rPr>
        <w:t>if the UE has determined that it is out of coverage [...]</w:t>
      </w:r>
      <w:r w:rsidR="00847808">
        <w:t xml:space="preserve">”, </w:t>
      </w:r>
      <w:r w:rsidR="00A67290">
        <w:t>“</w:t>
      </w:r>
      <w:r w:rsidR="002135A9" w:rsidRPr="00A67290">
        <w:rPr>
          <w:i/>
          <w:iCs/>
        </w:rPr>
        <w:t xml:space="preserve">the UE </w:t>
      </w:r>
      <w:r w:rsidR="00A67290" w:rsidRPr="00A67290">
        <w:rPr>
          <w:i/>
          <w:iCs/>
        </w:rPr>
        <w:t>need not perform any idle mode tasks related to</w:t>
      </w:r>
      <w:r w:rsidR="002135A9" w:rsidRPr="00A67290">
        <w:rPr>
          <w:i/>
          <w:iCs/>
        </w:rPr>
        <w:t xml:space="preserve"> NTN</w:t>
      </w:r>
      <w:r w:rsidR="00A67290">
        <w:t>”</w:t>
      </w:r>
      <w:r w:rsidR="002135A9">
        <w:t xml:space="preserve">. </w:t>
      </w:r>
      <w:r w:rsidR="00CD67D8">
        <w:t xml:space="preserve">However, </w:t>
      </w:r>
      <w:r w:rsidR="00847808">
        <w:t>as shown in the excerpt above, the</w:t>
      </w:r>
      <w:r w:rsidR="00CD67D8">
        <w:t xml:space="preserve"> intention of SA2 with the monitoring list is informative rather than normative. </w:t>
      </w:r>
      <w:r w:rsidR="00847808">
        <w:t>In contrast to discontinuous coverage</w:t>
      </w:r>
      <w:r w:rsidR="00941215">
        <w:t xml:space="preserve"> case</w:t>
      </w:r>
      <w:r w:rsidR="00847808">
        <w:t xml:space="preserve">, where there is no </w:t>
      </w:r>
      <w:r w:rsidR="00941215">
        <w:t xml:space="preserve">any </w:t>
      </w:r>
      <w:r w:rsidR="00847808">
        <w:t>other alternative</w:t>
      </w:r>
      <w:r w:rsidR="00941215">
        <w:t xml:space="preserve"> for NTN connection</w:t>
      </w:r>
      <w:r w:rsidR="00CD67D8">
        <w:t xml:space="preserve">, </w:t>
      </w:r>
      <w:r w:rsidR="00847808">
        <w:t xml:space="preserve">S&amp;F </w:t>
      </w:r>
      <w:r w:rsidR="00941215">
        <w:t xml:space="preserve">does not justify </w:t>
      </w:r>
      <w:r w:rsidR="00847808">
        <w:t>that t</w:t>
      </w:r>
      <w:r>
        <w:t xml:space="preserve">he UE </w:t>
      </w:r>
      <w:r w:rsidR="00847808">
        <w:t>stops</w:t>
      </w:r>
      <w:r>
        <w:t xml:space="preserve"> executing</w:t>
      </w:r>
      <w:r w:rsidR="00CD67D8">
        <w:t xml:space="preserve"> its idle mode tasks</w:t>
      </w:r>
      <w:r w:rsidR="00847808">
        <w:t xml:space="preserve">. </w:t>
      </w:r>
      <w:r w:rsidR="00CD67D8">
        <w:t xml:space="preserve">Certainly, </w:t>
      </w:r>
      <w:r w:rsidR="00847808">
        <w:t xml:space="preserve">if a UE is does not expect to receive MT data from a specific satellite in S&amp;F mode, </w:t>
      </w:r>
      <w:r w:rsidR="00CD67D8">
        <w:t xml:space="preserve">other enhancements such </w:t>
      </w:r>
      <w:r w:rsidR="00847808">
        <w:t>to</w:t>
      </w:r>
      <w:r w:rsidR="00CD67D8">
        <w:t xml:space="preserve"> paging monitoring or extended power modes could still </w:t>
      </w:r>
      <w:r w:rsidR="00E1399E">
        <w:t>be discussed</w:t>
      </w:r>
      <w:r w:rsidR="00CD67D8">
        <w:t>.</w:t>
      </w:r>
    </w:p>
    <w:p w14:paraId="5FBAFE87" w14:textId="77777777" w:rsidR="00F45400" w:rsidRDefault="00F45400" w:rsidP="00EE14F7"/>
    <w:p w14:paraId="6FDC94CF" w14:textId="468E60DB" w:rsidR="0073246B" w:rsidRDefault="00073342" w:rsidP="00F45400">
      <w:pPr>
        <w:pStyle w:val="Proposal"/>
      </w:pPr>
      <w:bookmarkStart w:id="3" w:name="_Toc197682408"/>
      <w:r>
        <w:lastRenderedPageBreak/>
        <w:t>A UE continue</w:t>
      </w:r>
      <w:r w:rsidR="00701D77">
        <w:t>s</w:t>
      </w:r>
      <w:r>
        <w:t xml:space="preserve"> executing its</w:t>
      </w:r>
      <w:r w:rsidRPr="00073342">
        <w:t xml:space="preserve"> NTN idle mode tasks related to S&amp;F operation (e.g.</w:t>
      </w:r>
      <w:r>
        <w:t>,</w:t>
      </w:r>
      <w:r w:rsidRPr="00073342">
        <w:t xml:space="preserve"> cell (re)selection, paging monitoring</w:t>
      </w:r>
      <w:r>
        <w:t>)</w:t>
      </w:r>
      <w:r w:rsidR="004551FF">
        <w:t xml:space="preserve"> even when it is not served by a satellite in the NAS monitoring list</w:t>
      </w:r>
      <w:r w:rsidR="00F45400" w:rsidRPr="00F45400">
        <w:t>.</w:t>
      </w:r>
      <w:bookmarkEnd w:id="3"/>
    </w:p>
    <w:p w14:paraId="75784761" w14:textId="77777777" w:rsidR="00F45400" w:rsidRDefault="00F45400" w:rsidP="00F45400"/>
    <w:p w14:paraId="49B0D43B" w14:textId="12101E27" w:rsidR="00114A16" w:rsidRPr="00630558" w:rsidRDefault="00801DD9" w:rsidP="00114A16">
      <w:pPr>
        <w:pStyle w:val="Heading2"/>
      </w:pPr>
      <w:r w:rsidRPr="00630558" w:rsidDel="008438D5">
        <w:t>2.</w:t>
      </w:r>
      <w:r w:rsidR="00114A16" w:rsidRPr="00630558">
        <w:t>2</w:t>
      </w:r>
      <w:r w:rsidR="00114A16" w:rsidRPr="00630558">
        <w:tab/>
      </w:r>
      <w:r w:rsidR="00AD5B3C" w:rsidRPr="00630558">
        <w:t>Neighbour and upcoming satellites</w:t>
      </w:r>
    </w:p>
    <w:p w14:paraId="3711E03D" w14:textId="176BE7B8" w:rsidR="00A917A9" w:rsidRDefault="00076A36" w:rsidP="003A73D8">
      <w:r w:rsidRPr="003B6FF8">
        <w:t>Similar</w:t>
      </w:r>
      <w:r>
        <w:t xml:space="preserve"> to the NAS satellite monitoring list</w:t>
      </w:r>
      <w:r w:rsidR="00966A83" w:rsidRPr="003B6FF8">
        <w:t xml:space="preserve">, it would be beneficial for the UE in AS level to have </w:t>
      </w:r>
      <w:r w:rsidR="002F7355" w:rsidRPr="003B6FF8">
        <w:t xml:space="preserve">access </w:t>
      </w:r>
      <w:r w:rsidR="00F12181" w:rsidRPr="003B6FF8">
        <w:t>to the operation mode of not only its serving satellite</w:t>
      </w:r>
      <w:r w:rsidR="00B42B29" w:rsidRPr="003B6FF8">
        <w:t xml:space="preserve"> </w:t>
      </w:r>
      <w:r w:rsidR="00F12181" w:rsidRPr="003B6FF8">
        <w:t xml:space="preserve">but also </w:t>
      </w:r>
      <w:r w:rsidR="001E70E4">
        <w:t xml:space="preserve">current </w:t>
      </w:r>
      <w:r w:rsidR="00F12181" w:rsidRPr="003B6FF8">
        <w:t>neighbour</w:t>
      </w:r>
      <w:r w:rsidR="00B42B29" w:rsidRPr="003B6FF8">
        <w:t xml:space="preserve">ing </w:t>
      </w:r>
      <w:r w:rsidR="00F12181" w:rsidRPr="003B6FF8">
        <w:t xml:space="preserve">satellites. </w:t>
      </w:r>
      <w:r w:rsidR="00AA4C36" w:rsidRPr="003B6FF8">
        <w:t>For neighbour</w:t>
      </w:r>
      <w:r w:rsidR="00B42B29" w:rsidRPr="003B6FF8">
        <w:t>ing</w:t>
      </w:r>
      <w:r w:rsidR="00AA4C36" w:rsidRPr="003B6FF8">
        <w:t xml:space="preserve"> satellite, this information may be </w:t>
      </w:r>
      <w:r w:rsidR="008D6005" w:rsidRPr="003B6FF8">
        <w:t>included</w:t>
      </w:r>
      <w:r w:rsidR="00AA4C36" w:rsidRPr="003B6FF8">
        <w:t xml:space="preserve"> in SIB33, along with </w:t>
      </w:r>
      <w:r w:rsidR="008D6005" w:rsidRPr="003B6FF8">
        <w:t>their respective</w:t>
      </w:r>
      <w:r w:rsidR="00AA4C36" w:rsidRPr="003B6FF8">
        <w:t xml:space="preserve"> satellite ID.</w:t>
      </w:r>
      <w:r w:rsidR="00376C75" w:rsidRPr="003B6FF8">
        <w:t xml:space="preserve"> </w:t>
      </w:r>
      <w:r w:rsidR="00B020FD" w:rsidRPr="003B6FF8">
        <w:t xml:space="preserve">This </w:t>
      </w:r>
      <w:r w:rsidR="008D6005" w:rsidRPr="003B6FF8">
        <w:t xml:space="preserve">additional information can enhance </w:t>
      </w:r>
      <w:r w:rsidR="00AA4C36" w:rsidRPr="003B6FF8">
        <w:t>the efficien</w:t>
      </w:r>
      <w:r w:rsidR="004A2836" w:rsidRPr="003B6FF8">
        <w:t xml:space="preserve">cy </w:t>
      </w:r>
      <w:r w:rsidR="00AA4C36" w:rsidRPr="003B6FF8">
        <w:t xml:space="preserve">of </w:t>
      </w:r>
      <w:r w:rsidR="004A2836" w:rsidRPr="003B6FF8">
        <w:t xml:space="preserve">various </w:t>
      </w:r>
      <w:r w:rsidR="00AA4C36" w:rsidRPr="003B6FF8">
        <w:t xml:space="preserve">AS </w:t>
      </w:r>
      <w:r w:rsidR="00B020FD" w:rsidRPr="003B6FF8">
        <w:t>procedures</w:t>
      </w:r>
      <w:r w:rsidR="004A2836" w:rsidRPr="003B6FF8">
        <w:t>,</w:t>
      </w:r>
      <w:r w:rsidR="00B020FD" w:rsidRPr="003B6FF8">
        <w:t xml:space="preserve"> such as cell re-selection</w:t>
      </w:r>
      <w:r w:rsidR="001E70E4">
        <w:t xml:space="preserve">. </w:t>
      </w:r>
      <w:r w:rsidR="00C05D1D">
        <w:t>For</w:t>
      </w:r>
      <w:r w:rsidR="00D53E19">
        <w:t xml:space="preserve"> example</w:t>
      </w:r>
      <w:r w:rsidR="00C05D1D">
        <w:t xml:space="preserve">, </w:t>
      </w:r>
      <w:r w:rsidR="009221CB">
        <w:t>depending on the applications layer necessities, a</w:t>
      </w:r>
      <w:r w:rsidR="00D53E19">
        <w:t xml:space="preserve"> UE that </w:t>
      </w:r>
      <w:r w:rsidR="009221CB">
        <w:t>i</w:t>
      </w:r>
      <w:r w:rsidR="00D53E19">
        <w:t>s located close to the cell border</w:t>
      </w:r>
      <w:r w:rsidR="000764F9">
        <w:t xml:space="preserve"> may prioritize the reselection to a cell which does not </w:t>
      </w:r>
      <w:r w:rsidR="009221CB">
        <w:t>operate in</w:t>
      </w:r>
      <w:r w:rsidR="000764F9">
        <w:t xml:space="preserve"> S&amp;F </w:t>
      </w:r>
      <w:r w:rsidR="009221CB">
        <w:t>mode</w:t>
      </w:r>
      <w:r w:rsidR="000764F9">
        <w:t>.</w:t>
      </w:r>
    </w:p>
    <w:p w14:paraId="61F8295A" w14:textId="77777777" w:rsidR="009B241D" w:rsidRDefault="009B241D" w:rsidP="003A73D8"/>
    <w:p w14:paraId="3E79D52E" w14:textId="6E0307A9" w:rsidR="009B241D" w:rsidRPr="003B6FF8" w:rsidRDefault="009B241D" w:rsidP="000E6112">
      <w:pPr>
        <w:pStyle w:val="Observation"/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4" w:name="_Toc197682378"/>
      <w:r>
        <w:t>A UE may benefit from knowing the S&amp;F operation status of neighbor satellites to steer mobility procedures.</w:t>
      </w:r>
      <w:bookmarkEnd w:id="4"/>
    </w:p>
    <w:p w14:paraId="45A8603D" w14:textId="57770BA6" w:rsidR="00DF2A6B" w:rsidRDefault="00DF2A6B" w:rsidP="008C03D3"/>
    <w:p w14:paraId="547A4C33" w14:textId="2A1C2C77" w:rsidR="00BA0DF9" w:rsidRDefault="00E248FB" w:rsidP="000F4486">
      <w:r>
        <w:t xml:space="preserve">One </w:t>
      </w:r>
      <w:r w:rsidR="00743F87" w:rsidRPr="00743F87">
        <w:t>solution</w:t>
      </w:r>
      <w:r>
        <w:t xml:space="preserve"> to assist mobility mechanisms which</w:t>
      </w:r>
      <w:r w:rsidR="00743F87" w:rsidRPr="00743F87">
        <w:t xml:space="preserve"> aligned with </w:t>
      </w:r>
      <w:r w:rsidR="00E85CE4">
        <w:t>existing</w:t>
      </w:r>
      <w:r w:rsidR="00743F87" w:rsidRPr="00743F87">
        <w:t xml:space="preserve"> </w:t>
      </w:r>
      <w:r>
        <w:t>specifications</w:t>
      </w:r>
      <w:r w:rsidR="000A63E1">
        <w:t xml:space="preserve"> </w:t>
      </w:r>
      <w:r>
        <w:t>is to consider the satellite/cell operation mode (S&amp;F/</w:t>
      </w:r>
      <w:r w:rsidR="00FA5368">
        <w:t>non-S&amp;F</w:t>
      </w:r>
      <w:r>
        <w:t xml:space="preserve">) in the </w:t>
      </w:r>
      <w:r w:rsidR="00743F87" w:rsidRPr="00743F87">
        <w:t>cell reselection criteria.</w:t>
      </w:r>
      <w:r w:rsidR="00F06C7B">
        <w:t xml:space="preserve"> In this way, the</w:t>
      </w:r>
      <w:r w:rsidR="000A63E1">
        <w:t xml:space="preserve"> UE may permanently or </w:t>
      </w:r>
      <w:r w:rsidR="00701D14">
        <w:t>temporally</w:t>
      </w:r>
      <w:r w:rsidR="000A63E1">
        <w:t xml:space="preserve"> change the cell </w:t>
      </w:r>
      <w:r w:rsidR="00F06C7B">
        <w:t xml:space="preserve">ranking criteria </w:t>
      </w:r>
      <w:r w:rsidR="000A63E1">
        <w:t>taking into consideration the remaining time in S&amp;F operation mode of the serving and/or neighbour cells.</w:t>
      </w:r>
    </w:p>
    <w:p w14:paraId="1DA99CB5" w14:textId="77777777" w:rsidR="00743F87" w:rsidRPr="003B6FF8" w:rsidRDefault="00743F87" w:rsidP="000F4486"/>
    <w:p w14:paraId="17E95157" w14:textId="145B66DF" w:rsidR="00114A16" w:rsidRDefault="00FA5368" w:rsidP="00A917A9">
      <w:pPr>
        <w:pStyle w:val="Proposal"/>
      </w:pPr>
      <w:bookmarkStart w:id="5" w:name="_Toc197682409"/>
      <w:r>
        <w:t xml:space="preserve">The network informs the UE </w:t>
      </w:r>
      <w:r w:rsidR="00B53412" w:rsidRPr="003B6FF8">
        <w:t xml:space="preserve">of the </w:t>
      </w:r>
      <w:r w:rsidR="00C338EA">
        <w:t>operation mode</w:t>
      </w:r>
      <w:r w:rsidR="00B84394">
        <w:t xml:space="preserve"> (</w:t>
      </w:r>
      <w:r w:rsidR="00B84394" w:rsidRPr="003B6FF8">
        <w:t>S&amp;F</w:t>
      </w:r>
      <w:r w:rsidR="00B84394">
        <w:t>/non-S&amp;F)</w:t>
      </w:r>
      <w:r w:rsidR="00B84394" w:rsidRPr="003B6FF8">
        <w:t xml:space="preserve"> </w:t>
      </w:r>
      <w:r w:rsidR="00B53412" w:rsidRPr="003B6FF8">
        <w:t xml:space="preserve">of neighbour </w:t>
      </w:r>
      <w:r w:rsidR="00B84394">
        <w:t>cells/</w:t>
      </w:r>
      <w:r w:rsidR="00B53412" w:rsidRPr="003B6FF8">
        <w:t>satellites.</w:t>
      </w:r>
      <w:bookmarkEnd w:id="5"/>
    </w:p>
    <w:p w14:paraId="5339DD11" w14:textId="7A37E31F" w:rsidR="00C6099A" w:rsidRPr="003B6FF8" w:rsidRDefault="00FA5368" w:rsidP="00212FAA">
      <w:pPr>
        <w:pStyle w:val="Proposal"/>
        <w:rPr>
          <w:lang w:eastAsia="ja-JP"/>
        </w:rPr>
      </w:pPr>
      <w:bookmarkStart w:id="6" w:name="_Toc197682410"/>
      <w:r>
        <w:rPr>
          <w:lang w:eastAsia="ja-JP"/>
        </w:rPr>
        <w:t>A new condition is introduced in cell reselection to consider the satellite operation mode</w:t>
      </w:r>
      <w:r w:rsidR="00431101">
        <w:rPr>
          <w:lang w:eastAsia="ja-JP"/>
        </w:rPr>
        <w:t xml:space="preserve"> </w:t>
      </w:r>
      <w:r>
        <w:t>(</w:t>
      </w:r>
      <w:r w:rsidRPr="003B6FF8">
        <w:t>S&amp;F</w:t>
      </w:r>
      <w:r>
        <w:t>/non-S&amp;F)</w:t>
      </w:r>
      <w:r w:rsidR="00C6099A" w:rsidRPr="00163913">
        <w:rPr>
          <w:lang w:eastAsia="ja-JP"/>
        </w:rPr>
        <w:t>.</w:t>
      </w:r>
      <w:bookmarkEnd w:id="6"/>
    </w:p>
    <w:p w14:paraId="79A5B4F1" w14:textId="1CE3207B" w:rsidR="0054767E" w:rsidRDefault="0054767E">
      <w:pPr>
        <w:spacing w:after="0" w:line="240" w:lineRule="auto"/>
      </w:pPr>
      <w:r>
        <w:br w:type="page"/>
      </w:r>
    </w:p>
    <w:p w14:paraId="16184499" w14:textId="2213CE2F" w:rsidR="00C01F33" w:rsidRPr="00630558" w:rsidRDefault="00AD4BAF" w:rsidP="00CE0424">
      <w:pPr>
        <w:pStyle w:val="Heading1"/>
      </w:pPr>
      <w:r>
        <w:t>3</w:t>
      </w:r>
      <w:r w:rsidR="00850F9A" w:rsidRPr="00630558">
        <w:tab/>
      </w:r>
      <w:r w:rsidR="00C01F33" w:rsidRPr="00630558">
        <w:t>Conclusion</w:t>
      </w:r>
    </w:p>
    <w:p w14:paraId="3C0C63AB" w14:textId="77777777" w:rsidR="008E065E" w:rsidRPr="00630558" w:rsidRDefault="008E065E" w:rsidP="008E065E">
      <w:pPr>
        <w:pStyle w:val="BodyText"/>
        <w:rPr>
          <w:b/>
        </w:rPr>
      </w:pPr>
      <w:r w:rsidRPr="00630558">
        <w:t xml:space="preserve">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made the following observations:</w:t>
      </w:r>
      <w:r w:rsidR="00C93814" w:rsidRPr="00630558">
        <w:rPr>
          <w:b/>
        </w:rPr>
        <w:t xml:space="preserve"> </w:t>
      </w:r>
    </w:p>
    <w:p w14:paraId="452FA437" w14:textId="4FD836E8" w:rsidR="00431101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630558">
        <w:rPr>
          <w:b w:val="0"/>
        </w:rPr>
        <w:fldChar w:fldCharType="separate"/>
      </w:r>
      <w:hyperlink w:anchor="_Toc197682378" w:history="1">
        <w:r w:rsidR="00431101" w:rsidRPr="00766EC9">
          <w:rPr>
            <w:rStyle w:val="Hyperlink"/>
            <w:noProof/>
          </w:rPr>
          <w:t>Observation 1</w:t>
        </w:r>
        <w:r w:rsidR="00431101">
          <w:rPr>
            <w:rFonts w:eastAsiaTheme="minorEastAsia"/>
            <w:b w:val="0"/>
            <w:noProof/>
            <w:lang w:eastAsia="en-SE"/>
          </w:rPr>
          <w:tab/>
        </w:r>
        <w:r w:rsidR="00431101" w:rsidRPr="00766EC9">
          <w:rPr>
            <w:rStyle w:val="Hyperlink"/>
            <w:noProof/>
          </w:rPr>
          <w:t>A UE may benefit from knowing the S&amp;F operation status of neighbor satellites to steer mobility procedures.</w:t>
        </w:r>
      </w:hyperlink>
    </w:p>
    <w:p w14:paraId="775CB46E" w14:textId="4FBBA53A" w:rsidR="006E1C82" w:rsidRPr="00630558" w:rsidRDefault="006F6582" w:rsidP="008E065E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A82D5E6" w14:textId="77777777" w:rsidR="006E1C82" w:rsidRPr="00630558" w:rsidRDefault="008E065E" w:rsidP="006E1C82">
      <w:pPr>
        <w:pStyle w:val="BodyText"/>
      </w:pPr>
      <w:r w:rsidRPr="00630558">
        <w:t xml:space="preserve">Based on the discussion 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propose the following:</w:t>
      </w:r>
    </w:p>
    <w:p w14:paraId="0817AFE6" w14:textId="14A37C16" w:rsidR="00431101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630558">
        <w:rPr>
          <w:b w:val="0"/>
        </w:rPr>
        <w:fldChar w:fldCharType="separate"/>
      </w:r>
      <w:hyperlink w:anchor="_Toc197682408" w:history="1">
        <w:r w:rsidR="00431101" w:rsidRPr="001311AE">
          <w:rPr>
            <w:rStyle w:val="Hyperlink"/>
            <w:noProof/>
          </w:rPr>
          <w:t>Proposal 1</w:t>
        </w:r>
        <w:r w:rsidR="00431101">
          <w:rPr>
            <w:rFonts w:eastAsiaTheme="minorEastAsia"/>
            <w:b w:val="0"/>
            <w:noProof/>
            <w:lang w:eastAsia="en-SE"/>
          </w:rPr>
          <w:tab/>
        </w:r>
        <w:r w:rsidR="00431101" w:rsidRPr="001311AE">
          <w:rPr>
            <w:rStyle w:val="Hyperlink"/>
            <w:noProof/>
          </w:rPr>
          <w:t>A UE continues executing its NTN idle mode tasks related to S&amp;F operation (e.g., cell (re)selection, paging monitoring) even when it is not served by a satellite in the NAS monitoring list.</w:t>
        </w:r>
      </w:hyperlink>
    </w:p>
    <w:p w14:paraId="0FC3C8F9" w14:textId="3B9C81A9" w:rsidR="00431101" w:rsidRDefault="00FB6F0D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7682409" w:history="1">
        <w:r w:rsidR="00431101" w:rsidRPr="001311AE">
          <w:rPr>
            <w:rStyle w:val="Hyperlink"/>
            <w:noProof/>
          </w:rPr>
          <w:t>Proposal 2</w:t>
        </w:r>
        <w:r w:rsidR="00431101">
          <w:rPr>
            <w:rFonts w:eastAsiaTheme="minorEastAsia"/>
            <w:b w:val="0"/>
            <w:noProof/>
            <w:lang w:eastAsia="en-SE"/>
          </w:rPr>
          <w:tab/>
        </w:r>
        <w:r w:rsidR="00431101" w:rsidRPr="001311AE">
          <w:rPr>
            <w:rStyle w:val="Hyperlink"/>
            <w:noProof/>
          </w:rPr>
          <w:t>The network informs the UE of the operation mode (S&amp;F/non-S&amp;F) of neighbour cells/satellites.</w:t>
        </w:r>
      </w:hyperlink>
    </w:p>
    <w:p w14:paraId="6501B7B2" w14:textId="3BC8E592" w:rsidR="00431101" w:rsidRDefault="00FB6F0D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7682410" w:history="1">
        <w:r w:rsidR="00431101" w:rsidRPr="001311AE">
          <w:rPr>
            <w:rStyle w:val="Hyperlink"/>
            <w:noProof/>
            <w:lang w:eastAsia="ja-JP"/>
          </w:rPr>
          <w:t>Proposal 3</w:t>
        </w:r>
        <w:r w:rsidR="00431101">
          <w:rPr>
            <w:rFonts w:eastAsiaTheme="minorEastAsia"/>
            <w:b w:val="0"/>
            <w:noProof/>
            <w:lang w:eastAsia="en-SE"/>
          </w:rPr>
          <w:tab/>
        </w:r>
        <w:r w:rsidR="00431101" w:rsidRPr="001311AE">
          <w:rPr>
            <w:rStyle w:val="Hyperlink"/>
            <w:noProof/>
            <w:lang w:eastAsia="ja-JP"/>
          </w:rPr>
          <w:t xml:space="preserve">A new condition is introduced in cell reselection to consider the satellite operation mode </w:t>
        </w:r>
        <w:r w:rsidR="00431101" w:rsidRPr="001311AE">
          <w:rPr>
            <w:rStyle w:val="Hyperlink"/>
            <w:noProof/>
          </w:rPr>
          <w:t>(S&amp;F/non-S&amp;F)</w:t>
        </w:r>
        <w:r w:rsidR="00431101" w:rsidRPr="001311AE">
          <w:rPr>
            <w:rStyle w:val="Hyperlink"/>
            <w:noProof/>
            <w:lang w:eastAsia="ja-JP"/>
          </w:rPr>
          <w:t>.</w:t>
        </w:r>
      </w:hyperlink>
    </w:p>
    <w:p w14:paraId="26EBCCF9" w14:textId="0DF10D32" w:rsidR="00C01F33" w:rsidRPr="00630558" w:rsidRDefault="006E1C82" w:rsidP="002003B9">
      <w:r w:rsidRPr="00630558">
        <w:fldChar w:fldCharType="end"/>
      </w:r>
    </w:p>
    <w:p w14:paraId="3F23459F" w14:textId="0009253B" w:rsidR="00F507D1" w:rsidRPr="00630558" w:rsidRDefault="00AD4BAF" w:rsidP="00CE0424">
      <w:pPr>
        <w:pStyle w:val="Heading1"/>
      </w:pPr>
      <w:bookmarkStart w:id="7" w:name="_In-sequence_SDU_delivery"/>
      <w:bookmarkEnd w:id="7"/>
      <w:r>
        <w:t>4</w:t>
      </w:r>
      <w:r w:rsidR="00734AE8" w:rsidRPr="00630558">
        <w:tab/>
      </w:r>
      <w:r w:rsidR="00F507D1" w:rsidRPr="0054767E">
        <w:t>References</w:t>
      </w:r>
    </w:p>
    <w:p w14:paraId="79FC4127" w14:textId="6E5E4D41" w:rsidR="00375320" w:rsidRPr="00491E11" w:rsidRDefault="00375320" w:rsidP="00F9199A">
      <w:pPr>
        <w:pStyle w:val="Reference"/>
      </w:pPr>
      <w:r>
        <w:rPr>
          <w:lang w:val="en-US"/>
        </w:rPr>
        <w:t>TR</w:t>
      </w:r>
      <w:r w:rsidR="0082143D">
        <w:rPr>
          <w:lang w:val="en-US"/>
        </w:rPr>
        <w:t xml:space="preserve"> </w:t>
      </w:r>
      <w:r w:rsidR="0082143D" w:rsidRPr="0082143D">
        <w:rPr>
          <w:lang w:val="en-US"/>
        </w:rPr>
        <w:t>3GPP TR 23.700-29</w:t>
      </w:r>
      <w:r w:rsidR="0054767E">
        <w:rPr>
          <w:lang w:val="en-US"/>
        </w:rPr>
        <w:t xml:space="preserve"> v19.0.0</w:t>
      </w:r>
    </w:p>
    <w:p w14:paraId="675D20EA" w14:textId="77777777" w:rsidR="00491E11" w:rsidRPr="00630558" w:rsidRDefault="00491E11" w:rsidP="00491E11">
      <w:pPr>
        <w:pStyle w:val="Reference"/>
        <w:spacing w:after="0" w:line="240" w:lineRule="auto"/>
      </w:pPr>
      <w:r w:rsidRPr="00375320">
        <w:t>RP-241624</w:t>
      </w:r>
      <w:r>
        <w:t xml:space="preserve"> - </w:t>
      </w:r>
      <w:r w:rsidRPr="00431F1C">
        <w:t>WID: Non-Terrestrial Networks (NTN) for Internet of Things (IoT) Phase 3</w:t>
      </w:r>
    </w:p>
    <w:p w14:paraId="472E4D9F" w14:textId="5F15AD6C" w:rsidR="008646A9" w:rsidRPr="00C42768" w:rsidRDefault="00FF53F7" w:rsidP="00F9199A">
      <w:pPr>
        <w:pStyle w:val="Reference"/>
      </w:pPr>
      <w:r w:rsidRPr="00FF53F7">
        <w:t>R2-2411197</w:t>
      </w:r>
      <w:r>
        <w:t xml:space="preserve">, </w:t>
      </w:r>
      <w:r w:rsidR="00970584" w:rsidRPr="00970584">
        <w:t>LS on Satellite IDs for store-and-forward operation</w:t>
      </w:r>
      <w:r w:rsidR="00970584">
        <w:t>, CATT, RAN2#128, Orlando, USA, November 2024.</w:t>
      </w:r>
    </w:p>
    <w:p w14:paraId="327092D4" w14:textId="17A61A99" w:rsidR="00E72714" w:rsidRDefault="00E72714" w:rsidP="00F9199A">
      <w:pPr>
        <w:pStyle w:val="Reference"/>
      </w:pPr>
      <w:r w:rsidRPr="00E72714">
        <w:t>S2-2502450</w:t>
      </w:r>
    </w:p>
    <w:p w14:paraId="463AC2B8" w14:textId="6E577413" w:rsidR="00E8178C" w:rsidRDefault="0058794F" w:rsidP="00B84394">
      <w:pPr>
        <w:pStyle w:val="Reference"/>
      </w:pPr>
      <w:r w:rsidRPr="0058794F">
        <w:t>S2-2502450</w:t>
      </w:r>
      <w:bookmarkStart w:id="8" w:name="_Ref181904463"/>
      <w:bookmarkEnd w:id="8"/>
    </w:p>
    <w:sectPr w:rsidR="00E8178C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4B83" w14:textId="77777777" w:rsidR="002B72AD" w:rsidRDefault="002B72AD">
      <w:r>
        <w:separator/>
      </w:r>
    </w:p>
  </w:endnote>
  <w:endnote w:type="continuationSeparator" w:id="0">
    <w:p w14:paraId="4CBD0904" w14:textId="77777777" w:rsidR="002B72AD" w:rsidRDefault="002B72AD">
      <w:r>
        <w:continuationSeparator/>
      </w:r>
    </w:p>
  </w:endnote>
  <w:endnote w:type="continuationNotice" w:id="1">
    <w:p w14:paraId="77348EDC" w14:textId="77777777" w:rsidR="002B72AD" w:rsidRDefault="002B7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8FBA" w14:textId="77777777" w:rsidR="002B72AD" w:rsidRDefault="002B72AD">
      <w:r>
        <w:separator/>
      </w:r>
    </w:p>
  </w:footnote>
  <w:footnote w:type="continuationSeparator" w:id="0">
    <w:p w14:paraId="277BD3E8" w14:textId="77777777" w:rsidR="002B72AD" w:rsidRDefault="002B72AD">
      <w:r>
        <w:continuationSeparator/>
      </w:r>
    </w:p>
  </w:footnote>
  <w:footnote w:type="continuationNotice" w:id="1">
    <w:p w14:paraId="612E31D5" w14:textId="77777777" w:rsidR="002B72AD" w:rsidRDefault="002B7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9"/>
  </w:num>
  <w:num w:numId="2" w16cid:durableId="626470624">
    <w:abstractNumId w:val="7"/>
  </w:num>
  <w:num w:numId="3" w16cid:durableId="1669482877">
    <w:abstractNumId w:val="2"/>
  </w:num>
  <w:num w:numId="4" w16cid:durableId="2129155411">
    <w:abstractNumId w:val="10"/>
  </w:num>
  <w:num w:numId="5" w16cid:durableId="34082472">
    <w:abstractNumId w:val="11"/>
  </w:num>
  <w:num w:numId="6" w16cid:durableId="846481830">
    <w:abstractNumId w:val="13"/>
  </w:num>
  <w:num w:numId="7" w16cid:durableId="1144616275">
    <w:abstractNumId w:val="4"/>
  </w:num>
  <w:num w:numId="8" w16cid:durableId="1765567034">
    <w:abstractNumId w:val="5"/>
  </w:num>
  <w:num w:numId="9" w16cid:durableId="225529683">
    <w:abstractNumId w:val="3"/>
  </w:num>
  <w:num w:numId="10" w16cid:durableId="1152791407">
    <w:abstractNumId w:val="16"/>
  </w:num>
  <w:num w:numId="11" w16cid:durableId="881554179">
    <w:abstractNumId w:val="6"/>
  </w:num>
  <w:num w:numId="12" w16cid:durableId="1289358417">
    <w:abstractNumId w:val="14"/>
  </w:num>
  <w:num w:numId="13" w16cid:durableId="1961762433">
    <w:abstractNumId w:val="12"/>
  </w:num>
  <w:num w:numId="14" w16cid:durableId="1932860372">
    <w:abstractNumId w:val="8"/>
  </w:num>
  <w:num w:numId="15" w16cid:durableId="1015182642">
    <w:abstractNumId w:val="15"/>
  </w:num>
  <w:num w:numId="16" w16cid:durableId="28650248">
    <w:abstractNumId w:val="1"/>
  </w:num>
  <w:num w:numId="17" w16cid:durableId="376704509">
    <w:abstractNumId w:val="7"/>
  </w:num>
  <w:num w:numId="18" w16cid:durableId="1024870207">
    <w:abstractNumId w:val="7"/>
  </w:num>
  <w:num w:numId="19" w16cid:durableId="1062606505">
    <w:abstractNumId w:val="7"/>
  </w:num>
  <w:num w:numId="20" w16cid:durableId="646014887">
    <w:abstractNumId w:val="10"/>
  </w:num>
  <w:num w:numId="21" w16cid:durableId="469326585">
    <w:abstractNumId w:val="0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0CF0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342"/>
    <w:rsid w:val="00073FDD"/>
    <w:rsid w:val="000753E8"/>
    <w:rsid w:val="000764F9"/>
    <w:rsid w:val="00076730"/>
    <w:rsid w:val="00076A36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177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56868"/>
    <w:rsid w:val="00160C21"/>
    <w:rsid w:val="00163913"/>
    <w:rsid w:val="00164F4D"/>
    <w:rsid w:val="00165982"/>
    <w:rsid w:val="001659B6"/>
    <w:rsid w:val="001659C1"/>
    <w:rsid w:val="00165A99"/>
    <w:rsid w:val="00172AC4"/>
    <w:rsid w:val="00173019"/>
    <w:rsid w:val="00173A8E"/>
    <w:rsid w:val="0017502C"/>
    <w:rsid w:val="00177C20"/>
    <w:rsid w:val="001807EB"/>
    <w:rsid w:val="0018143F"/>
    <w:rsid w:val="00181943"/>
    <w:rsid w:val="00181FF8"/>
    <w:rsid w:val="00190AC1"/>
    <w:rsid w:val="001917B1"/>
    <w:rsid w:val="00191CB5"/>
    <w:rsid w:val="0019341A"/>
    <w:rsid w:val="0019727F"/>
    <w:rsid w:val="00197DF9"/>
    <w:rsid w:val="001A1987"/>
    <w:rsid w:val="001A2564"/>
    <w:rsid w:val="001A37E9"/>
    <w:rsid w:val="001A6173"/>
    <w:rsid w:val="001A6361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0E4"/>
    <w:rsid w:val="001E7AED"/>
    <w:rsid w:val="001F3916"/>
    <w:rsid w:val="001F54C5"/>
    <w:rsid w:val="001F662C"/>
    <w:rsid w:val="001F7074"/>
    <w:rsid w:val="002003B9"/>
    <w:rsid w:val="00200490"/>
    <w:rsid w:val="00201F3A"/>
    <w:rsid w:val="00203F96"/>
    <w:rsid w:val="002069B2"/>
    <w:rsid w:val="00207250"/>
    <w:rsid w:val="00207FA3"/>
    <w:rsid w:val="002127A1"/>
    <w:rsid w:val="00212FAA"/>
    <w:rsid w:val="002135A9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2D25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4C47"/>
    <w:rsid w:val="00280149"/>
    <w:rsid w:val="002805F5"/>
    <w:rsid w:val="00280751"/>
    <w:rsid w:val="00281D5A"/>
    <w:rsid w:val="002827FD"/>
    <w:rsid w:val="0028280A"/>
    <w:rsid w:val="00282FC1"/>
    <w:rsid w:val="00286ACD"/>
    <w:rsid w:val="00287838"/>
    <w:rsid w:val="002907B5"/>
    <w:rsid w:val="00290B54"/>
    <w:rsid w:val="00292EB7"/>
    <w:rsid w:val="00293EA8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B72AD"/>
    <w:rsid w:val="002C1B3B"/>
    <w:rsid w:val="002C2C5D"/>
    <w:rsid w:val="002C415B"/>
    <w:rsid w:val="002C41E6"/>
    <w:rsid w:val="002C4E09"/>
    <w:rsid w:val="002C674B"/>
    <w:rsid w:val="002D0052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101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51FF"/>
    <w:rsid w:val="00457565"/>
    <w:rsid w:val="00457B71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843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A66FA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5E9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20ED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1615"/>
    <w:rsid w:val="00582809"/>
    <w:rsid w:val="0058794F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D553C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676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4CE5"/>
    <w:rsid w:val="006F58D4"/>
    <w:rsid w:val="006F6582"/>
    <w:rsid w:val="006F7184"/>
    <w:rsid w:val="0070107B"/>
    <w:rsid w:val="00701D14"/>
    <w:rsid w:val="00701D66"/>
    <w:rsid w:val="00701D77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2BB1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18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808"/>
    <w:rsid w:val="00847D06"/>
    <w:rsid w:val="00850F9A"/>
    <w:rsid w:val="008526D4"/>
    <w:rsid w:val="00856911"/>
    <w:rsid w:val="008569E5"/>
    <w:rsid w:val="00860233"/>
    <w:rsid w:val="00861B27"/>
    <w:rsid w:val="0086291C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0B6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3D3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4031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63E9"/>
    <w:rsid w:val="009175AE"/>
    <w:rsid w:val="00917CE9"/>
    <w:rsid w:val="0092075B"/>
    <w:rsid w:val="00920BF2"/>
    <w:rsid w:val="00922010"/>
    <w:rsid w:val="0092204E"/>
    <w:rsid w:val="009221CB"/>
    <w:rsid w:val="0092735F"/>
    <w:rsid w:val="00931BD9"/>
    <w:rsid w:val="009368F3"/>
    <w:rsid w:val="009373E1"/>
    <w:rsid w:val="00940283"/>
    <w:rsid w:val="00941215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28E1"/>
    <w:rsid w:val="00A13E54"/>
    <w:rsid w:val="00A160D0"/>
    <w:rsid w:val="00A16C24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454F"/>
    <w:rsid w:val="00A657D7"/>
    <w:rsid w:val="00A659E2"/>
    <w:rsid w:val="00A660AC"/>
    <w:rsid w:val="00A67290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8F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4C4F"/>
    <w:rsid w:val="00B576E8"/>
    <w:rsid w:val="00B640D8"/>
    <w:rsid w:val="00B664C7"/>
    <w:rsid w:val="00B70EA0"/>
    <w:rsid w:val="00B739F6"/>
    <w:rsid w:val="00B7438E"/>
    <w:rsid w:val="00B75F1D"/>
    <w:rsid w:val="00B811C0"/>
    <w:rsid w:val="00B81974"/>
    <w:rsid w:val="00B81A6C"/>
    <w:rsid w:val="00B84394"/>
    <w:rsid w:val="00B858F8"/>
    <w:rsid w:val="00B85C7C"/>
    <w:rsid w:val="00B85DE5"/>
    <w:rsid w:val="00B90727"/>
    <w:rsid w:val="00B90962"/>
    <w:rsid w:val="00B90E9D"/>
    <w:rsid w:val="00B90F73"/>
    <w:rsid w:val="00B91080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3802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C5C5F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3FBF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7D8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6B1"/>
    <w:rsid w:val="00D37D87"/>
    <w:rsid w:val="00D40233"/>
    <w:rsid w:val="00D40B33"/>
    <w:rsid w:val="00D4318F"/>
    <w:rsid w:val="00D438BF"/>
    <w:rsid w:val="00D440F8"/>
    <w:rsid w:val="00D450F5"/>
    <w:rsid w:val="00D4608F"/>
    <w:rsid w:val="00D511FF"/>
    <w:rsid w:val="00D519ED"/>
    <w:rsid w:val="00D51D69"/>
    <w:rsid w:val="00D53448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7F1"/>
    <w:rsid w:val="00DC6A40"/>
    <w:rsid w:val="00DD689F"/>
    <w:rsid w:val="00DD718B"/>
    <w:rsid w:val="00DE4351"/>
    <w:rsid w:val="00DE5608"/>
    <w:rsid w:val="00DE58D0"/>
    <w:rsid w:val="00DE61E4"/>
    <w:rsid w:val="00DE654F"/>
    <w:rsid w:val="00DE6722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399E"/>
    <w:rsid w:val="00E142E7"/>
    <w:rsid w:val="00E17FA2"/>
    <w:rsid w:val="00E22330"/>
    <w:rsid w:val="00E248FB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714"/>
    <w:rsid w:val="00E72EFC"/>
    <w:rsid w:val="00E758EC"/>
    <w:rsid w:val="00E81600"/>
    <w:rsid w:val="00E8178C"/>
    <w:rsid w:val="00E8234C"/>
    <w:rsid w:val="00E82A1F"/>
    <w:rsid w:val="00E83AA9"/>
    <w:rsid w:val="00E85928"/>
    <w:rsid w:val="00E85CE4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7159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1ABA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368"/>
    <w:rsid w:val="00FA5E5F"/>
    <w:rsid w:val="00FA6B8E"/>
    <w:rsid w:val="00FB4B42"/>
    <w:rsid w:val="00FB4C80"/>
    <w:rsid w:val="00FB55ED"/>
    <w:rsid w:val="00FB5D96"/>
    <w:rsid w:val="00FB6A6A"/>
    <w:rsid w:val="00FB6F0D"/>
    <w:rsid w:val="00FC0DF8"/>
    <w:rsid w:val="00FC1413"/>
    <w:rsid w:val="00FC2AE5"/>
    <w:rsid w:val="00FC3DD1"/>
    <w:rsid w:val="00FC7429"/>
    <w:rsid w:val="00FD07F6"/>
    <w:rsid w:val="00FD1EC8"/>
    <w:rsid w:val="00FD47ED"/>
    <w:rsid w:val="00FD6D65"/>
    <w:rsid w:val="00FD74DB"/>
    <w:rsid w:val="00FD7660"/>
    <w:rsid w:val="00FE0655"/>
    <w:rsid w:val="00FE2365"/>
    <w:rsid w:val="00FE37D7"/>
    <w:rsid w:val="00FE4C7B"/>
    <w:rsid w:val="00FE50EE"/>
    <w:rsid w:val="00FE7336"/>
    <w:rsid w:val="00FE7396"/>
    <w:rsid w:val="00FE787C"/>
    <w:rsid w:val="00FF09A1"/>
    <w:rsid w:val="00FF1640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6F0D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6F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6F0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3001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Ignacio</cp:lastModifiedBy>
  <cp:revision>517</cp:revision>
  <cp:lastPrinted>2008-02-01T20:09:00Z</cp:lastPrinted>
  <dcterms:created xsi:type="dcterms:W3CDTF">2024-03-16T07:59:00Z</dcterms:created>
  <dcterms:modified xsi:type="dcterms:W3CDTF">2025-05-09T09:57:00Z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